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F957" w14:textId="77777777" w:rsidR="00B222E8" w:rsidRPr="007C0EAF" w:rsidRDefault="00B222E8" w:rsidP="00B222E8">
      <w:pPr>
        <w:jc w:val="center"/>
        <w:rPr>
          <w:b/>
          <w:bCs/>
          <w:noProof/>
          <w:sz w:val="28"/>
          <w:szCs w:val="28"/>
          <w:lang w:eastAsia="ru-RU"/>
        </w:rPr>
      </w:pPr>
      <w:r w:rsidRPr="007C0EAF">
        <w:rPr>
          <w:b/>
          <w:bCs/>
          <w:noProof/>
          <w:sz w:val="28"/>
          <w:szCs w:val="28"/>
          <w:lang w:eastAsia="ru-RU"/>
        </w:rPr>
        <w:t>Памятник «Вечный огонь» расположен в ст. Тбилисской по ул. Первомайской 41 В</w:t>
      </w:r>
    </w:p>
    <w:p w14:paraId="48415034" w14:textId="77777777" w:rsidR="00B222E8" w:rsidRDefault="00B222E8" w:rsidP="00B222E8">
      <w:r>
        <w:rPr>
          <w:noProof/>
        </w:rPr>
        <w:drawing>
          <wp:inline distT="0" distB="0" distL="0" distR="0" wp14:anchorId="1FB88F86" wp14:editId="0666D72F">
            <wp:extent cx="5940425" cy="2774315"/>
            <wp:effectExtent l="0" t="0" r="317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AD51" w14:textId="77777777" w:rsidR="00B222E8" w:rsidRDefault="00B222E8" w:rsidP="00B22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3BA869" w14:textId="77777777" w:rsidR="00B222E8" w:rsidRDefault="00B222E8" w:rsidP="00B222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3259CED6" wp14:editId="3A60BA64">
            <wp:extent cx="3469907" cy="52050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05" cy="520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2D84" w14:textId="77777777" w:rsidR="008F7B0E" w:rsidRDefault="008F7B0E"/>
    <w:sectPr w:rsidR="008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E8"/>
    <w:rsid w:val="008F7B0E"/>
    <w:rsid w:val="00B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F9A2"/>
  <w15:chartTrackingRefBased/>
  <w15:docId w15:val="{B69FF1B2-8C4C-4B32-8AD8-492EE3B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2022-05-05T11:26:00Z</dcterms:created>
  <dcterms:modified xsi:type="dcterms:W3CDTF">2022-05-05T11:26:00Z</dcterms:modified>
</cp:coreProperties>
</file>