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B8" w:rsidRDefault="002758B8" w:rsidP="00280D0A">
      <w:pPr>
        <w:spacing w:after="0" w:line="240" w:lineRule="auto"/>
        <w:ind w:firstLine="709"/>
        <w:jc w:val="both"/>
        <w:outlineLvl w:val="0"/>
        <w:rPr>
          <w:rFonts w:ascii="Segoe UI" w:hAnsi="Segoe UI" w:cs="Segoe UI"/>
          <w:b/>
          <w:sz w:val="24"/>
          <w:szCs w:val="24"/>
        </w:rPr>
      </w:pPr>
    </w:p>
    <w:p w:rsidR="002758B8" w:rsidRDefault="002758B8" w:rsidP="002758B8">
      <w:pPr>
        <w:spacing w:after="0" w:line="240" w:lineRule="auto"/>
        <w:ind w:firstLine="709"/>
        <w:jc w:val="right"/>
        <w:outlineLvl w:val="0"/>
        <w:rPr>
          <w:rFonts w:ascii="Segoe UI" w:hAnsi="Segoe UI" w:cs="Segoe UI"/>
          <w:b/>
          <w:sz w:val="28"/>
          <w:szCs w:val="24"/>
        </w:rPr>
      </w:pPr>
      <w:r>
        <w:rPr>
          <w:rFonts w:ascii="Segoe UI" w:hAnsi="Segoe UI" w:cs="Segoe UI"/>
          <w:b/>
          <w:sz w:val="28"/>
          <w:szCs w:val="24"/>
        </w:rPr>
        <w:t>ПРЕСС-РЕЛИЗ</w:t>
      </w:r>
    </w:p>
    <w:p w:rsidR="002758B8" w:rsidRPr="002758B8" w:rsidRDefault="002758B8" w:rsidP="002758B8">
      <w:pPr>
        <w:spacing w:after="0" w:line="240" w:lineRule="auto"/>
        <w:ind w:firstLine="709"/>
        <w:jc w:val="right"/>
        <w:outlineLvl w:val="0"/>
        <w:rPr>
          <w:rFonts w:ascii="Segoe UI" w:hAnsi="Segoe UI" w:cs="Segoe UI"/>
          <w:b/>
          <w:sz w:val="28"/>
          <w:szCs w:val="24"/>
        </w:rPr>
      </w:pPr>
    </w:p>
    <w:p w:rsidR="00280D0A" w:rsidRDefault="002758B8" w:rsidP="002758B8">
      <w:pPr>
        <w:spacing w:after="0" w:line="240" w:lineRule="auto"/>
        <w:ind w:firstLine="709"/>
        <w:jc w:val="center"/>
        <w:outlineLvl w:val="0"/>
        <w:rPr>
          <w:rFonts w:ascii="Segoe UI" w:hAnsi="Segoe UI" w:cs="Segoe UI"/>
          <w:b/>
          <w:sz w:val="32"/>
          <w:szCs w:val="24"/>
        </w:rPr>
      </w:pPr>
      <w:r w:rsidRPr="002758B8">
        <w:rPr>
          <w:rFonts w:ascii="Segoe UI" w:hAnsi="Segoe UI" w:cs="Segoe UI"/>
          <w:b/>
          <w:sz w:val="32"/>
          <w:szCs w:val="24"/>
        </w:rPr>
        <w:t>Как определяется рыночная стоимость объекта недвижимости</w:t>
      </w:r>
    </w:p>
    <w:p w:rsidR="00F008CE" w:rsidRPr="002758B8" w:rsidRDefault="00F008CE" w:rsidP="002758B8">
      <w:pPr>
        <w:spacing w:after="0" w:line="240" w:lineRule="auto"/>
        <w:ind w:firstLine="709"/>
        <w:jc w:val="center"/>
        <w:outlineLvl w:val="0"/>
        <w:rPr>
          <w:rFonts w:ascii="Segoe UI" w:hAnsi="Segoe UI" w:cs="Segoe UI"/>
          <w:b/>
          <w:sz w:val="32"/>
          <w:szCs w:val="24"/>
        </w:rPr>
      </w:pPr>
    </w:p>
    <w:p w:rsidR="002758B8" w:rsidRPr="003A6845" w:rsidRDefault="00F008CE" w:rsidP="002758B8">
      <w:pPr>
        <w:pStyle w:val="ConsPlusNormal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17145</wp:posOffset>
            </wp:positionV>
            <wp:extent cx="2465705" cy="687070"/>
            <wp:effectExtent l="19050" t="0" r="0" b="0"/>
            <wp:wrapTight wrapText="bothSides">
              <wp:wrapPolygon edited="0">
                <wp:start x="-167" y="0"/>
                <wp:lineTo x="-167" y="20961"/>
                <wp:lineTo x="21528" y="20961"/>
                <wp:lineTo x="21528" y="0"/>
                <wp:lineTo x="-167" y="0"/>
              </wp:wrapPolygon>
            </wp:wrapTight>
            <wp:docPr id="2" name="Рисунок 1" descr="C:\Users\User2142\Desktop\Новая папка\ЛОГОТИПЫ\логотипы в работу\новые логотипы\Лого КП по К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2142\Desktop\Новая папка\ЛОГОТИПЫ\логотипы в работу\новые логотипы\Лого КП по КК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687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58B8" w:rsidRPr="003A6845">
        <w:rPr>
          <w:rFonts w:ascii="Segoe UI" w:hAnsi="Segoe UI" w:cs="Segoe UI"/>
          <w:sz w:val="24"/>
          <w:szCs w:val="24"/>
        </w:rPr>
        <w:t xml:space="preserve">Рыночная стоимость объекта оценки определяется независимым оценщиком, который должен являться членом </w:t>
      </w:r>
      <w:proofErr w:type="spellStart"/>
      <w:r w:rsidR="002758B8" w:rsidRPr="003A6845">
        <w:rPr>
          <w:rFonts w:ascii="Segoe UI" w:hAnsi="Segoe UI" w:cs="Segoe UI"/>
          <w:sz w:val="24"/>
          <w:szCs w:val="24"/>
        </w:rPr>
        <w:t>саморегулируемой</w:t>
      </w:r>
      <w:proofErr w:type="spellEnd"/>
      <w:r w:rsidR="002758B8" w:rsidRPr="003A6845">
        <w:rPr>
          <w:rFonts w:ascii="Segoe UI" w:hAnsi="Segoe UI" w:cs="Segoe UI"/>
          <w:sz w:val="24"/>
          <w:szCs w:val="24"/>
        </w:rPr>
        <w:t xml:space="preserve"> организации и застраховать риск наступления своей гражданской ответственности. Свою деятельность оценщик может осуществлять только по тем направлениям оценочной деятельности, которые предусмотрены в его квалификационном аттестате. </w:t>
      </w:r>
    </w:p>
    <w:p w:rsidR="00F008CE" w:rsidRDefault="00F008CE" w:rsidP="00F008CE">
      <w:pPr>
        <w:pStyle w:val="ConsPlusNormal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proofErr w:type="gramStart"/>
      <w:r w:rsidRPr="003A6845">
        <w:rPr>
          <w:rFonts w:ascii="Segoe UI" w:hAnsi="Segoe UI" w:cs="Segoe UI"/>
          <w:sz w:val="24"/>
          <w:szCs w:val="24"/>
        </w:rPr>
        <w:t>Рыночная стоимостью объекта – это наиболее вероятная цена, по которой данный объект может быть отчужден на открытом рынке в условиях конкуренции, когда стороны сделки действуют разумно (предполагается наличие свободного волеизъявления сторон</w:t>
      </w:r>
      <w:proofErr w:type="gramEnd"/>
      <w:r w:rsidRPr="003A6845">
        <w:rPr>
          <w:rFonts w:ascii="Segoe UI" w:hAnsi="Segoe UI" w:cs="Segoe UI"/>
          <w:sz w:val="24"/>
          <w:szCs w:val="24"/>
        </w:rPr>
        <w:t xml:space="preserve"> на совершение сделки), располагая всей необходимой информацией, и не обязаны ее совершать, а на величине цены сделки не отражаются какие-либо чрезвычайные обстоятельства.</w:t>
      </w:r>
    </w:p>
    <w:p w:rsidR="002758B8" w:rsidRPr="003A6845" w:rsidRDefault="002758B8" w:rsidP="002758B8">
      <w:pPr>
        <w:pStyle w:val="ConsPlusNormal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3A6845">
        <w:rPr>
          <w:rFonts w:ascii="Segoe UI" w:hAnsi="Segoe UI" w:cs="Segoe UI"/>
          <w:sz w:val="24"/>
          <w:szCs w:val="24"/>
        </w:rPr>
        <w:t>Основанием для проведения оценки является договор о проведении оценки объектов, заключенный заказчиком с оценщиком или с юридическим лицом, с которым оценщик заключил трудовой договор.</w:t>
      </w:r>
    </w:p>
    <w:p w:rsidR="002758B8" w:rsidRPr="003A6845" w:rsidRDefault="002758B8" w:rsidP="002758B8">
      <w:pPr>
        <w:pStyle w:val="ConsPlusNormal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3A6845">
        <w:rPr>
          <w:rFonts w:ascii="Segoe UI" w:hAnsi="Segoe UI" w:cs="Segoe UI"/>
          <w:sz w:val="24"/>
          <w:szCs w:val="24"/>
        </w:rPr>
        <w:t xml:space="preserve">В случаях, предусмотренных законодательством Российской Федерации, оценка объекта оценки, в том числе повторная, может быть проведена оценщиком на основании судебного решения или решения уполномоченного органа. </w:t>
      </w:r>
    </w:p>
    <w:p w:rsidR="002758B8" w:rsidRPr="003A6845" w:rsidRDefault="002758B8" w:rsidP="002758B8">
      <w:pPr>
        <w:pStyle w:val="ConsPlusNormal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3A6845">
        <w:rPr>
          <w:rFonts w:ascii="Segoe UI" w:hAnsi="Segoe UI" w:cs="Segoe UI"/>
          <w:sz w:val="24"/>
          <w:szCs w:val="24"/>
        </w:rPr>
        <w:t>Требования к порядку проведения оценки определяются стандартами оценочной деятельности. При этом используются следующие основные подходы к оценке:</w:t>
      </w:r>
    </w:p>
    <w:p w:rsidR="002758B8" w:rsidRPr="003A6845" w:rsidRDefault="002758B8" w:rsidP="002758B8">
      <w:pPr>
        <w:pStyle w:val="ConsPlusNormal"/>
        <w:numPr>
          <w:ilvl w:val="0"/>
          <w:numId w:val="2"/>
        </w:numPr>
        <w:tabs>
          <w:tab w:val="clear" w:pos="540"/>
          <w:tab w:val="num" w:pos="0"/>
          <w:tab w:val="left" w:pos="993"/>
        </w:tabs>
        <w:ind w:left="0" w:firstLine="709"/>
        <w:contextualSpacing/>
        <w:jc w:val="both"/>
        <w:rPr>
          <w:rFonts w:ascii="Segoe UI" w:hAnsi="Segoe UI" w:cs="Segoe UI"/>
          <w:sz w:val="24"/>
          <w:szCs w:val="24"/>
        </w:rPr>
      </w:pPr>
      <w:proofErr w:type="gramStart"/>
      <w:r w:rsidRPr="003A6845">
        <w:rPr>
          <w:rFonts w:ascii="Segoe UI" w:hAnsi="Segoe UI" w:cs="Segoe UI"/>
          <w:sz w:val="24"/>
          <w:szCs w:val="24"/>
        </w:rPr>
        <w:t>сравнительный</w:t>
      </w:r>
      <w:proofErr w:type="gramEnd"/>
      <w:r w:rsidRPr="003A6845">
        <w:rPr>
          <w:rFonts w:ascii="Segoe UI" w:hAnsi="Segoe UI" w:cs="Segoe UI"/>
          <w:sz w:val="24"/>
          <w:szCs w:val="24"/>
        </w:rPr>
        <w:t>, который основан на получении стоимости объекта оценки путем сравнения оцениваемого объекта с объектами-аналогами (применяется, когда доступна достоверная и достаточная для анализа информация о ценах и характеристиках объектов-аналогов);</w:t>
      </w:r>
    </w:p>
    <w:p w:rsidR="002758B8" w:rsidRPr="003A6845" w:rsidRDefault="002758B8" w:rsidP="002758B8">
      <w:pPr>
        <w:pStyle w:val="ConsPlusNormal"/>
        <w:numPr>
          <w:ilvl w:val="0"/>
          <w:numId w:val="2"/>
        </w:numPr>
        <w:tabs>
          <w:tab w:val="clear" w:pos="540"/>
          <w:tab w:val="num" w:pos="0"/>
          <w:tab w:val="left" w:pos="993"/>
        </w:tabs>
        <w:ind w:left="0"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3A6845">
        <w:rPr>
          <w:rFonts w:ascii="Segoe UI" w:hAnsi="Segoe UI" w:cs="Segoe UI"/>
          <w:sz w:val="24"/>
          <w:szCs w:val="24"/>
        </w:rPr>
        <w:t>доходный, который основан на определении ожидаемых доходов от использования объекта оценки (применяется, когда существует достоверная информация, позволяющая прогнозировать будущие доходы, которые объект оценки способен приносить, а также связанные с объектом оценки расходы);</w:t>
      </w:r>
    </w:p>
    <w:p w:rsidR="002758B8" w:rsidRPr="002758B8" w:rsidRDefault="002758B8" w:rsidP="002758B8">
      <w:pPr>
        <w:pStyle w:val="ConsPlusNormal"/>
        <w:numPr>
          <w:ilvl w:val="0"/>
          <w:numId w:val="2"/>
        </w:numPr>
        <w:tabs>
          <w:tab w:val="clear" w:pos="540"/>
          <w:tab w:val="num" w:pos="0"/>
          <w:tab w:val="left" w:pos="993"/>
        </w:tabs>
        <w:ind w:left="0" w:firstLine="709"/>
        <w:contextualSpacing/>
        <w:jc w:val="both"/>
        <w:rPr>
          <w:rFonts w:ascii="Segoe UI" w:hAnsi="Segoe UI" w:cs="Segoe UI"/>
          <w:sz w:val="24"/>
          <w:szCs w:val="24"/>
        </w:rPr>
      </w:pPr>
      <w:proofErr w:type="gramStart"/>
      <w:r w:rsidRPr="003A6845">
        <w:rPr>
          <w:rFonts w:ascii="Segoe UI" w:hAnsi="Segoe UI" w:cs="Segoe UI"/>
          <w:sz w:val="24"/>
          <w:szCs w:val="24"/>
        </w:rPr>
        <w:t>затратный</w:t>
      </w:r>
      <w:proofErr w:type="gramEnd"/>
      <w:r w:rsidRPr="003A6845">
        <w:rPr>
          <w:rFonts w:ascii="Segoe UI" w:hAnsi="Segoe UI" w:cs="Segoe UI"/>
          <w:sz w:val="24"/>
          <w:szCs w:val="24"/>
        </w:rPr>
        <w:t>, который основан на определении затрат, необходимых для приобретения, воспроизводства либо замещения объекта оценки с учетом износа и устаревания (применяется, когда существует достоверная информация, позволяющая определить затраты на приобретение, воспроизводство либо замещение объекта оценки).</w:t>
      </w:r>
    </w:p>
    <w:p w:rsidR="00280D0A" w:rsidRPr="003A6845" w:rsidRDefault="00280D0A" w:rsidP="00280D0A">
      <w:pPr>
        <w:pStyle w:val="ConsPlusNormal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3A6845">
        <w:rPr>
          <w:rFonts w:ascii="Segoe UI" w:hAnsi="Segoe UI" w:cs="Segoe UI"/>
          <w:sz w:val="24"/>
          <w:szCs w:val="24"/>
        </w:rPr>
        <w:t>Рыночная стоимость подлежит установлению в следующих, законодательно установленных, случаях:</w:t>
      </w:r>
    </w:p>
    <w:p w:rsidR="00280D0A" w:rsidRPr="003A6845" w:rsidRDefault="00280D0A" w:rsidP="00280D0A">
      <w:pPr>
        <w:pStyle w:val="ConsPlusNormal"/>
        <w:numPr>
          <w:ilvl w:val="0"/>
          <w:numId w:val="1"/>
        </w:numPr>
        <w:tabs>
          <w:tab w:val="clear" w:pos="540"/>
          <w:tab w:val="num" w:pos="0"/>
          <w:tab w:val="left" w:pos="851"/>
          <w:tab w:val="left" w:pos="993"/>
        </w:tabs>
        <w:ind w:left="0"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3A6845">
        <w:rPr>
          <w:rFonts w:ascii="Segoe UI" w:hAnsi="Segoe UI" w:cs="Segoe UI"/>
          <w:sz w:val="24"/>
          <w:szCs w:val="24"/>
        </w:rPr>
        <w:t xml:space="preserve">в целях налогообложения для установления соответствия цен по разовым сделкам рыночным ценам; </w:t>
      </w:r>
    </w:p>
    <w:p w:rsidR="00280D0A" w:rsidRPr="003A6845" w:rsidRDefault="00280D0A" w:rsidP="00280D0A">
      <w:pPr>
        <w:pStyle w:val="ConsPlusNormal"/>
        <w:numPr>
          <w:ilvl w:val="0"/>
          <w:numId w:val="1"/>
        </w:numPr>
        <w:tabs>
          <w:tab w:val="clear" w:pos="540"/>
          <w:tab w:val="num" w:pos="0"/>
          <w:tab w:val="left" w:pos="851"/>
          <w:tab w:val="left" w:pos="993"/>
        </w:tabs>
        <w:ind w:left="0"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3A6845">
        <w:rPr>
          <w:rFonts w:ascii="Segoe UI" w:hAnsi="Segoe UI" w:cs="Segoe UI"/>
          <w:sz w:val="24"/>
          <w:szCs w:val="24"/>
        </w:rPr>
        <w:t xml:space="preserve">при залоге недвижимости и иного имущества; </w:t>
      </w:r>
    </w:p>
    <w:p w:rsidR="00280D0A" w:rsidRPr="003A6845" w:rsidRDefault="00280D0A" w:rsidP="00280D0A">
      <w:pPr>
        <w:pStyle w:val="ConsPlusNormal"/>
        <w:numPr>
          <w:ilvl w:val="0"/>
          <w:numId w:val="1"/>
        </w:numPr>
        <w:tabs>
          <w:tab w:val="clear" w:pos="540"/>
          <w:tab w:val="num" w:pos="0"/>
          <w:tab w:val="left" w:pos="851"/>
          <w:tab w:val="left" w:pos="993"/>
        </w:tabs>
        <w:ind w:left="0"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3A6845">
        <w:rPr>
          <w:rFonts w:ascii="Segoe UI" w:hAnsi="Segoe UI" w:cs="Segoe UI"/>
          <w:sz w:val="24"/>
          <w:szCs w:val="24"/>
        </w:rPr>
        <w:lastRenderedPageBreak/>
        <w:t xml:space="preserve">при продаже с публичных торгов объектов незавершенного строительства; </w:t>
      </w:r>
    </w:p>
    <w:p w:rsidR="00280D0A" w:rsidRPr="003A6845" w:rsidRDefault="00280D0A" w:rsidP="00280D0A">
      <w:pPr>
        <w:pStyle w:val="ConsPlusNormal"/>
        <w:numPr>
          <w:ilvl w:val="0"/>
          <w:numId w:val="1"/>
        </w:numPr>
        <w:tabs>
          <w:tab w:val="clear" w:pos="540"/>
          <w:tab w:val="num" w:pos="0"/>
          <w:tab w:val="left" w:pos="851"/>
          <w:tab w:val="left" w:pos="993"/>
        </w:tabs>
        <w:ind w:left="0"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3A6845">
        <w:rPr>
          <w:rFonts w:ascii="Segoe UI" w:hAnsi="Segoe UI" w:cs="Segoe UI"/>
          <w:sz w:val="24"/>
          <w:szCs w:val="24"/>
        </w:rPr>
        <w:t xml:space="preserve">при продаже, сдаче в аренду государственных и муниципальных земельных участков, при определении размера возмещения при изъятии земельных участков; </w:t>
      </w:r>
    </w:p>
    <w:p w:rsidR="00280D0A" w:rsidRPr="003A6845" w:rsidRDefault="00280D0A" w:rsidP="00280D0A">
      <w:pPr>
        <w:pStyle w:val="ConsPlusNormal"/>
        <w:numPr>
          <w:ilvl w:val="0"/>
          <w:numId w:val="1"/>
        </w:numPr>
        <w:tabs>
          <w:tab w:val="clear" w:pos="540"/>
          <w:tab w:val="num" w:pos="0"/>
          <w:tab w:val="left" w:pos="851"/>
          <w:tab w:val="left" w:pos="993"/>
        </w:tabs>
        <w:ind w:left="0"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3A6845">
        <w:rPr>
          <w:rFonts w:ascii="Segoe UI" w:hAnsi="Segoe UI" w:cs="Segoe UI"/>
          <w:sz w:val="24"/>
          <w:szCs w:val="24"/>
        </w:rPr>
        <w:t xml:space="preserve">при необходимости пересмотра кадастровой стоимости; </w:t>
      </w:r>
    </w:p>
    <w:p w:rsidR="00280D0A" w:rsidRPr="003A6845" w:rsidRDefault="00280D0A" w:rsidP="00280D0A">
      <w:pPr>
        <w:pStyle w:val="ConsPlusNormal"/>
        <w:numPr>
          <w:ilvl w:val="0"/>
          <w:numId w:val="1"/>
        </w:numPr>
        <w:tabs>
          <w:tab w:val="clear" w:pos="540"/>
          <w:tab w:val="num" w:pos="0"/>
          <w:tab w:val="left" w:pos="851"/>
          <w:tab w:val="left" w:pos="993"/>
        </w:tabs>
        <w:ind w:left="0"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3A6845">
        <w:rPr>
          <w:rFonts w:ascii="Segoe UI" w:hAnsi="Segoe UI" w:cs="Segoe UI"/>
          <w:sz w:val="24"/>
          <w:szCs w:val="24"/>
        </w:rPr>
        <w:t xml:space="preserve">в целях оценки имущества должника в рамках исполнительного производства; </w:t>
      </w:r>
    </w:p>
    <w:p w:rsidR="00280D0A" w:rsidRPr="003A6845" w:rsidRDefault="00280D0A" w:rsidP="00280D0A">
      <w:pPr>
        <w:pStyle w:val="ConsPlusNormal"/>
        <w:numPr>
          <w:ilvl w:val="0"/>
          <w:numId w:val="1"/>
        </w:numPr>
        <w:tabs>
          <w:tab w:val="clear" w:pos="540"/>
          <w:tab w:val="num" w:pos="0"/>
          <w:tab w:val="left" w:pos="851"/>
          <w:tab w:val="left" w:pos="993"/>
        </w:tabs>
        <w:ind w:left="0"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3A6845">
        <w:rPr>
          <w:rFonts w:ascii="Segoe UI" w:hAnsi="Segoe UI" w:cs="Segoe UI"/>
          <w:sz w:val="24"/>
          <w:szCs w:val="24"/>
        </w:rPr>
        <w:t xml:space="preserve">в рамках производства по делу о банкротстве. </w:t>
      </w:r>
    </w:p>
    <w:p w:rsidR="00280D0A" w:rsidRPr="003A6845" w:rsidRDefault="00280D0A" w:rsidP="00280D0A">
      <w:pPr>
        <w:pStyle w:val="ConsPlusNormal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3A6845">
        <w:rPr>
          <w:rFonts w:ascii="Segoe UI" w:hAnsi="Segoe UI" w:cs="Segoe UI"/>
          <w:sz w:val="24"/>
          <w:szCs w:val="24"/>
        </w:rPr>
        <w:t>Также рыночная стоимость может быть определена по инициативе хозяйствующих субъектов.</w:t>
      </w:r>
    </w:p>
    <w:p w:rsidR="00F008CE" w:rsidRDefault="00F008CE" w:rsidP="00F008CE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color w:val="000000"/>
          <w:szCs w:val="28"/>
        </w:rPr>
        <w:t>______________________________________________________________________________________________________</w:t>
      </w:r>
    </w:p>
    <w:p w:rsidR="00F008CE" w:rsidRDefault="00F008CE" w:rsidP="00F008CE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113030</wp:posOffset>
            </wp:positionV>
            <wp:extent cx="297180" cy="297180"/>
            <wp:effectExtent l="19050" t="0" r="7620" b="0"/>
            <wp:wrapTight wrapText="bothSides">
              <wp:wrapPolygon edited="0">
                <wp:start x="-1385" y="0"/>
                <wp:lineTo x="-1385" y="20769"/>
                <wp:lineTo x="22154" y="20769"/>
                <wp:lineTo x="22154" y="0"/>
                <wp:lineTo x="-1385" y="0"/>
              </wp:wrapPolygon>
            </wp:wrapTight>
            <wp:docPr id="6" name="Рисунок 2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color w:val="000000"/>
          <w:szCs w:val="28"/>
        </w:rPr>
        <w:t>Пресс-служба Кадастровой палаты по Краснодарскому краю</w:t>
      </w:r>
    </w:p>
    <w:p w:rsidR="00F008CE" w:rsidRDefault="00F008CE" w:rsidP="00F008CE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</w:rPr>
        <w:t xml:space="preserve">ул. </w:t>
      </w:r>
      <w:proofErr w:type="spellStart"/>
      <w:r>
        <w:rPr>
          <w:rFonts w:ascii="Segoe UI" w:hAnsi="Segoe UI" w:cs="Segoe UI"/>
        </w:rPr>
        <w:t>Сормовская</w:t>
      </w:r>
      <w:proofErr w:type="spellEnd"/>
      <w:r>
        <w:rPr>
          <w:rFonts w:ascii="Segoe UI" w:hAnsi="Segoe UI" w:cs="Segoe UI"/>
        </w:rPr>
        <w:t>, д. 3, Краснодар, 350018</w:t>
      </w:r>
    </w:p>
    <w:p w:rsidR="00F008CE" w:rsidRDefault="00F008CE" w:rsidP="00F008CE">
      <w:pPr>
        <w:pStyle w:val="a4"/>
        <w:spacing w:before="0" w:beforeAutospacing="0" w:after="0" w:afterAutospacing="0"/>
        <w:rPr>
          <w:rStyle w:val="a3"/>
          <w:sz w:val="22"/>
          <w:szCs w:val="22"/>
        </w:rPr>
      </w:pPr>
    </w:p>
    <w:tbl>
      <w:tblPr>
        <w:tblW w:w="10380" w:type="dxa"/>
        <w:jc w:val="center"/>
        <w:tblLayout w:type="fixed"/>
        <w:tblLook w:val="04A0"/>
      </w:tblPr>
      <w:tblGrid>
        <w:gridCol w:w="775"/>
        <w:gridCol w:w="4453"/>
        <w:gridCol w:w="797"/>
        <w:gridCol w:w="4355"/>
      </w:tblGrid>
      <w:tr w:rsidR="00F008CE" w:rsidRPr="001D3413" w:rsidTr="00F466EB">
        <w:trPr>
          <w:jc w:val="center"/>
        </w:trPr>
        <w:tc>
          <w:tcPr>
            <w:tcW w:w="774" w:type="dxa"/>
            <w:hideMark/>
          </w:tcPr>
          <w:p w:rsidR="00F008CE" w:rsidRPr="001D3413" w:rsidRDefault="00F008CE" w:rsidP="00F466EB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  <w:szCs w:val="28"/>
              </w:rPr>
              <w:drawing>
                <wp:inline distT="0" distB="0" distL="0" distR="0">
                  <wp:extent cx="358140" cy="358140"/>
                  <wp:effectExtent l="19050" t="0" r="3810" b="0"/>
                  <wp:docPr id="5" name="Рисунок 5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F008CE" w:rsidRPr="001D3413" w:rsidRDefault="00F008CE" w:rsidP="00F466EB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hyperlink r:id="rId8" w:history="1">
              <w:r w:rsidRPr="001D3413">
                <w:rPr>
                  <w:rStyle w:val="a3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797" w:type="dxa"/>
            <w:hideMark/>
          </w:tcPr>
          <w:p w:rsidR="00F008CE" w:rsidRPr="001D3413" w:rsidRDefault="00F008CE" w:rsidP="00F466EB">
            <w:pPr>
              <w:contextualSpacing/>
              <w:rPr>
                <w:rStyle w:val="a3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73380" cy="380365"/>
                  <wp:effectExtent l="19050" t="0" r="7620" b="0"/>
                  <wp:docPr id="1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80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5" w:type="dxa"/>
            <w:hideMark/>
          </w:tcPr>
          <w:p w:rsidR="00F008CE" w:rsidRPr="001D3413" w:rsidRDefault="00F008CE" w:rsidP="00F466EB">
            <w:pPr>
              <w:contextualSpacing/>
              <w:rPr>
                <w:rFonts w:ascii="Segoe UI" w:hAnsi="Segoe UI" w:cs="Segoe UI"/>
                <w:color w:val="0000FF"/>
                <w:szCs w:val="28"/>
                <w:u w:val="single"/>
                <w:lang w:val="en-US"/>
              </w:rPr>
            </w:pPr>
            <w:hyperlink r:id="rId10" w:history="1">
              <w:r w:rsidRPr="001D3413">
                <w:rPr>
                  <w:rStyle w:val="a3"/>
                  <w:rFonts w:ascii="Segoe UI" w:hAnsi="Segoe UI" w:cs="Segoe UI"/>
                  <w:szCs w:val="28"/>
                  <w:lang w:val="en-US"/>
                </w:rPr>
                <w:t>https://www.instagram.com/kadastr</w:t>
              </w:r>
            </w:hyperlink>
            <w:r w:rsidRPr="001D3413">
              <w:rPr>
                <w:rFonts w:ascii="Segoe UI" w:hAnsi="Segoe UI" w:cs="Segoe UI"/>
                <w:color w:val="0000FF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1D3413">
              <w:rPr>
                <w:rFonts w:ascii="Segoe UI" w:hAnsi="Segoe UI" w:cs="Segoe UI"/>
                <w:color w:val="0000FF"/>
                <w:szCs w:val="28"/>
                <w:u w:val="single"/>
                <w:lang w:val="en-US"/>
              </w:rPr>
              <w:t>kuban</w:t>
            </w:r>
            <w:proofErr w:type="spellEnd"/>
          </w:p>
        </w:tc>
      </w:tr>
      <w:tr w:rsidR="00F008CE" w:rsidTr="00F466EB">
        <w:trPr>
          <w:jc w:val="center"/>
        </w:trPr>
        <w:tc>
          <w:tcPr>
            <w:tcW w:w="774" w:type="dxa"/>
            <w:hideMark/>
          </w:tcPr>
          <w:p w:rsidR="00F008CE" w:rsidRPr="001D3413" w:rsidRDefault="00F008CE" w:rsidP="00F466EB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58140" cy="358140"/>
                  <wp:effectExtent l="19050" t="0" r="3810" b="0"/>
                  <wp:docPr id="3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F008CE" w:rsidRPr="001D3413" w:rsidRDefault="00F008CE" w:rsidP="00F466EB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1D3413">
              <w:rPr>
                <w:rFonts w:ascii="Segoe UI" w:hAnsi="Segoe UI" w:cs="Segoe UI"/>
                <w:color w:val="0000FF"/>
                <w:szCs w:val="28"/>
                <w:u w:val="single"/>
              </w:rPr>
              <w:t>https://twitter.com/Kadastr_Kuban</w:t>
            </w:r>
          </w:p>
        </w:tc>
        <w:tc>
          <w:tcPr>
            <w:tcW w:w="797" w:type="dxa"/>
            <w:hideMark/>
          </w:tcPr>
          <w:p w:rsidR="00F008CE" w:rsidRPr="001D3413" w:rsidRDefault="00F008CE" w:rsidP="00F466EB">
            <w:pPr>
              <w:contextualSpacing/>
              <w:rPr>
                <w:rStyle w:val="a3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58140" cy="358140"/>
                  <wp:effectExtent l="19050" t="0" r="3810" b="0"/>
                  <wp:docPr id="4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5" w:type="dxa"/>
            <w:hideMark/>
          </w:tcPr>
          <w:p w:rsidR="00F008CE" w:rsidRPr="001D3413" w:rsidRDefault="00F008CE" w:rsidP="00F466EB">
            <w:pPr>
              <w:contextualSpacing/>
              <w:jc w:val="both"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1D3413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F20229" w:rsidRDefault="00F20229"/>
    <w:sectPr w:rsidR="00F20229" w:rsidSect="00F008C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E0415"/>
    <w:multiLevelType w:val="multilevel"/>
    <w:tmpl w:val="B44EC188"/>
    <w:lvl w:ilvl="0">
      <w:start w:val="1"/>
      <w:numFmt w:val="bullet"/>
      <w:lvlText w:val="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E064B48"/>
    <w:multiLevelType w:val="multilevel"/>
    <w:tmpl w:val="847ADFCE"/>
    <w:lvl w:ilvl="0">
      <w:start w:val="1"/>
      <w:numFmt w:val="bullet"/>
      <w:lvlText w:val="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80D0A"/>
    <w:rsid w:val="002758B8"/>
    <w:rsid w:val="00280D0A"/>
    <w:rsid w:val="00F008CE"/>
    <w:rsid w:val="00F20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0D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F008C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0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0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8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23@23.kadast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hyperlink" Target="https://www.instagram.com/kadast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user2142</dc:creator>
  <cp:keywords/>
  <dc:description/>
  <cp:lastModifiedBy>user2142</cp:lastModifiedBy>
  <cp:revision>2</cp:revision>
  <dcterms:created xsi:type="dcterms:W3CDTF">2020-07-21T13:51:00Z</dcterms:created>
  <dcterms:modified xsi:type="dcterms:W3CDTF">2020-07-21T14:25:00Z</dcterms:modified>
</cp:coreProperties>
</file>